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67" w:left="567" w:right="11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УПРАВЛЕНИЕ ОБРАЗОВАНИЯ</w:t>
      </w:r>
    </w:p>
    <w:p w14:paraId="02000000">
      <w:pPr>
        <w:spacing w:after="0" w:line="240" w:lineRule="auto"/>
        <w:ind w:firstLine="567" w:left="567" w:right="11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АДМИНИСТРАЦИИ ГОРОДА НОВОШАХТИНСКА</w:t>
      </w:r>
    </w:p>
    <w:p w14:paraId="03000000">
      <w:pPr>
        <w:spacing w:after="0" w:line="240" w:lineRule="auto"/>
        <w:ind w:firstLine="567" w:left="567" w:right="113"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240" w:lineRule="auto"/>
        <w:ind w:firstLine="567" w:left="567" w:right="11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5000000">
      <w:pPr>
        <w:spacing w:after="0" w:line="240" w:lineRule="auto"/>
        <w:ind w:firstLine="567" w:left="567" w:right="113"/>
        <w:jc w:val="center"/>
        <w:rPr>
          <w:rFonts w:ascii="Times New Roman" w:hAnsi="Times New Roman"/>
          <w:sz w:val="24"/>
        </w:rPr>
      </w:pPr>
    </w:p>
    <w:p w14:paraId="06000000">
      <w:pPr>
        <w:spacing w:after="0" w:line="240" w:lineRule="auto"/>
        <w:ind w:firstLine="567" w:left="567" w:right="11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16 .01.2025</w:t>
      </w:r>
      <w:r>
        <w:rPr>
          <w:rFonts w:ascii="Times New Roman" w:hAnsi="Times New Roman"/>
          <w:sz w:val="28"/>
        </w:rPr>
        <w:t xml:space="preserve">                                  № </w:t>
      </w:r>
      <w:r>
        <w:rPr>
          <w:rFonts w:ascii="Times New Roman" w:hAnsi="Times New Roman"/>
          <w:sz w:val="28"/>
        </w:rPr>
        <w:t xml:space="preserve"> 47                              </w:t>
      </w:r>
      <w:r>
        <w:rPr>
          <w:rFonts w:ascii="Times New Roman" w:hAnsi="Times New Roman"/>
          <w:sz w:val="28"/>
        </w:rPr>
        <w:t>г. Новошахтинск</w:t>
      </w:r>
    </w:p>
    <w:p w14:paraId="07000000">
      <w:pPr>
        <w:spacing w:after="0" w:line="240" w:lineRule="auto"/>
        <w:ind w:firstLine="567" w:left="567" w:right="113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 w:firstLine="567" w:left="567" w:right="11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поэтапном внедрении Программы </w:t>
      </w:r>
    </w:p>
    <w:p w14:paraId="09000000">
      <w:pPr>
        <w:spacing w:after="0" w:line="240" w:lineRule="auto"/>
        <w:ind w:firstLine="567" w:left="567" w:right="11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просветительской деятельности для   родителей детей (законных представителей), </w:t>
      </w:r>
      <w:r>
        <w:rPr>
          <w:rFonts w:ascii="Times New Roman" w:hAnsi="Times New Roman"/>
          <w:b w:val="1"/>
          <w:sz w:val="28"/>
        </w:rPr>
        <w:t>посещающих</w:t>
      </w:r>
      <w:r>
        <w:rPr>
          <w:rFonts w:ascii="Times New Roman" w:hAnsi="Times New Roman"/>
          <w:b w:val="1"/>
          <w:sz w:val="28"/>
        </w:rPr>
        <w:t xml:space="preserve"> дошкольные образовательные организации</w:t>
      </w:r>
    </w:p>
    <w:p w14:paraId="0A000000">
      <w:pPr>
        <w:spacing w:after="0" w:line="240" w:lineRule="auto"/>
        <w:ind w:firstLine="567" w:left="567" w:right="113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п. 3 перечня поручений Президента Российской Федерации от 14.06.2022, в рамках исполнения приказа Министерства общего и профессионального образования Ростовской области  от 19.11.2024 № 1076, на основании письма минобразования Ростовской области от 17.12.2024 № 24/2.1-21274 от 17.12.2024, в целях приобщения родителей к ценностям осознанного и ответственного родительства, обеспечения поддержки семьи в вопросах образования, охраны и укрепления здоровья каждого ребенка, обеспечения единства подходов к воспитанию и обучению детей в условиях детского сада и семьи, а также информирования о правах родителей и государственной поддержке семей с детьми дошкольного возраста</w:t>
      </w:r>
      <w:r>
        <w:rPr>
          <w:rFonts w:ascii="Times New Roman" w:hAnsi="Times New Roman"/>
          <w:sz w:val="28"/>
        </w:rPr>
        <w:t xml:space="preserve">  </w:t>
      </w:r>
    </w:p>
    <w:p w14:paraId="0C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</w:t>
      </w:r>
    </w:p>
    <w:p w14:paraId="0D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ПРИКАЗЫВАЮ:</w:t>
      </w:r>
    </w:p>
    <w:p w14:paraId="0E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0F000000">
      <w:pPr>
        <w:numPr>
          <w:numId w:val="1"/>
        </w:num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поэтапное внедрение</w:t>
      </w:r>
      <w:r>
        <w:rPr>
          <w:rFonts w:ascii="Times New Roman" w:hAnsi="Times New Roman"/>
          <w:b w:val="0"/>
          <w:sz w:val="28"/>
        </w:rPr>
        <w:t xml:space="preserve"> Программы просветительской деятельности для   родителей детей, посещающих дошкольные образовательные организации (далее - </w:t>
      </w:r>
      <w:r>
        <w:rPr>
          <w:rFonts w:ascii="Times New Roman" w:hAnsi="Times New Roman"/>
          <w:b w:val="0"/>
          <w:sz w:val="28"/>
        </w:rPr>
        <w:t>Прогр</w:t>
      </w:r>
      <w:r>
        <w:rPr>
          <w:rFonts w:ascii="Times New Roman" w:hAnsi="Times New Roman"/>
          <w:sz w:val="28"/>
        </w:rPr>
        <w:t>амма)  во всех дошкольных образовательных организациях города</w:t>
      </w:r>
      <w:r>
        <w:rPr>
          <w:rFonts w:ascii="Times New Roman" w:hAnsi="Times New Roman"/>
          <w:b w:val="0"/>
          <w:sz w:val="28"/>
        </w:rPr>
        <w:t xml:space="preserve"> до 2030 года согласно прилагаемому графику (приложение 1).  </w:t>
      </w:r>
    </w:p>
    <w:p w14:paraId="10000000">
      <w:pPr>
        <w:numPr>
          <w:numId w:val="1"/>
        </w:num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Назначить муниципальным координатором  внедрения Программы  Попову Е.В., начальника информационно – методического отдела МБУ ЦБУ ХО МС.</w:t>
      </w:r>
    </w:p>
    <w:p w14:paraId="11000000">
      <w:pPr>
        <w:numPr>
          <w:numId w:val="1"/>
        </w:num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муниципальный план – график (дорожную карту) организационно – методических мероприятий по поэтапному внедрению Программы просвещения родителей в городе Новошахтинске (приложение 2).</w:t>
      </w:r>
    </w:p>
    <w:p w14:paraId="12000000">
      <w:pPr>
        <w:numPr>
          <w:numId w:val="1"/>
        </w:num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Руководителям </w:t>
      </w:r>
      <w:r>
        <w:rPr>
          <w:rFonts w:ascii="Times New Roman" w:hAnsi="Times New Roman"/>
          <w:sz w:val="28"/>
        </w:rPr>
        <w:t>методических объединений педагогов дошкольного образования  (Демонова С.А., Деменчук Е.П.) внести корректировки в план работы методических объединений, включив вопросы внедрения Программы и просвещения родителей обучающихся.</w:t>
      </w:r>
    </w:p>
    <w:p w14:paraId="13000000">
      <w:pPr>
        <w:numPr>
          <w:numId w:val="1"/>
        </w:num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дошкольных образовательных организаций:</w:t>
      </w:r>
    </w:p>
    <w:p w14:paraId="14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</w:t>
      </w:r>
      <w:r>
        <w:rPr>
          <w:rFonts w:ascii="Times New Roman" w:hAnsi="Times New Roman"/>
          <w:sz w:val="28"/>
        </w:rPr>
        <w:t>утвердить процедуру внедрения программы локальными актами учреждения;</w:t>
      </w:r>
    </w:p>
    <w:p w14:paraId="15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разработать план – график (дорожную карту) </w:t>
      </w:r>
      <w:r>
        <w:rPr>
          <w:rFonts w:ascii="Times New Roman" w:hAnsi="Times New Roman"/>
          <w:sz w:val="28"/>
        </w:rPr>
        <w:t>организационно – методических мероприятий по поэтапному внедрению Программы в ДОО;</w:t>
      </w:r>
    </w:p>
    <w:p w14:paraId="16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обеспечить своевременное повышение квалификации педагогических работников ДОО по вопросам просветительской деятельности родителей;</w:t>
      </w:r>
    </w:p>
    <w:p w14:paraId="17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на официальном сайте организации создать отдельную вкладку «Программа просветительской деятельности для родителей» с разделами «Нормативные документы», «Методические материалы», «Практика просвещения родителей (законных представителей»).</w:t>
      </w:r>
    </w:p>
    <w:p w14:paraId="18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обеспечить подготовку просветительских материалов по тематике Программы для дальнейшего размещения на официальных сайтах и в сообществах ДОО в социальных сетях.</w:t>
      </w:r>
    </w:p>
    <w:p w14:paraId="19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приказа возложить на заместителя начальника Управления образования Шленчак Л.И.</w:t>
      </w:r>
    </w:p>
    <w:p w14:paraId="1A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</w:t>
      </w:r>
    </w:p>
    <w:p w14:paraId="1C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Управления образования </w:t>
      </w:r>
      <w:r>
        <w:rPr>
          <w:rFonts w:ascii="Times New Roman" w:hAnsi="Times New Roman"/>
          <w:sz w:val="28"/>
        </w:rPr>
        <w:t xml:space="preserve">                                                       </w:t>
      </w:r>
      <w:r>
        <w:rPr>
          <w:rFonts w:ascii="Times New Roman" w:hAnsi="Times New Roman"/>
          <w:sz w:val="28"/>
        </w:rPr>
        <w:t xml:space="preserve">   Т.П. Бахтинова</w:t>
      </w:r>
    </w:p>
    <w:p w14:paraId="1D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2E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2F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31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33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34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35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36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37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38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3A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3C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3D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3E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3F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40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p w14:paraId="41000000">
      <w:pPr>
        <w:spacing w:after="0" w:line="240" w:lineRule="auto"/>
        <w:ind w:firstLine="851" w:left="-851"/>
        <w:jc w:val="both"/>
        <w:rPr>
          <w:rFonts w:ascii="Times New Roman" w:hAnsi="Times New Roman"/>
        </w:rPr>
      </w:pPr>
    </w:p>
    <w:p w14:paraId="42000000">
      <w:pPr>
        <w:spacing w:after="0" w:line="240" w:lineRule="auto"/>
        <w:ind w:firstLine="851" w:left="-85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Попова Елена Вячеславна</w:t>
      </w:r>
    </w:p>
    <w:p w14:paraId="43000000">
      <w:pPr>
        <w:pStyle w:val="Style_1"/>
        <w:rPr>
          <w:sz w:val="20"/>
        </w:rPr>
      </w:pPr>
      <w:r>
        <w:rPr>
          <w:rFonts w:ascii="Times New Roman" w:hAnsi="Times New Roman"/>
          <w:sz w:val="20"/>
        </w:rPr>
        <w:t xml:space="preserve">                           2-13-52</w:t>
      </w:r>
    </w:p>
    <w:sectPr>
      <w:pgSz w:h="16838" w:orient="portrait" w:w="11906"/>
      <w:pgMar w:bottom="539" w:left="595" w:right="737" w:top="425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2025-01-23T08:47:42Z</dcterms:modified>
</cp:coreProperties>
</file>